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AF" w:rsidRPr="007559AF" w:rsidRDefault="007559AF" w:rsidP="007559AF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kern w:val="36"/>
          <w:sz w:val="23"/>
          <w:szCs w:val="23"/>
          <w:lang w:eastAsia="de-DE"/>
        </w:rPr>
        <w:t>Erste Durchführungsverordnung zum Gesetz über die berufsmäßige Ausübung der Heilkunde ohne Bestallung (</w:t>
      </w:r>
      <w:proofErr w:type="spellStart"/>
      <w:r w:rsidRPr="007559AF">
        <w:rPr>
          <w:rFonts w:ascii="Arial" w:eastAsia="Times New Roman" w:hAnsi="Arial" w:cs="Arial"/>
          <w:b/>
          <w:bCs/>
          <w:kern w:val="36"/>
          <w:sz w:val="23"/>
          <w:szCs w:val="23"/>
          <w:lang w:eastAsia="de-DE"/>
        </w:rPr>
        <w:t>Heilpraktikergesetz</w:t>
      </w:r>
      <w:proofErr w:type="spellEnd"/>
      <w:r w:rsidRPr="007559AF">
        <w:rPr>
          <w:rFonts w:ascii="Arial" w:eastAsia="Times New Roman" w:hAnsi="Arial" w:cs="Arial"/>
          <w:b/>
          <w:bCs/>
          <w:kern w:val="36"/>
          <w:sz w:val="23"/>
          <w:szCs w:val="23"/>
          <w:lang w:eastAsia="de-DE"/>
        </w:rPr>
        <w:t>)</w:t>
      </w:r>
      <w:r>
        <w:rPr>
          <w:rFonts w:ascii="Arial" w:eastAsia="Times New Roman" w:hAnsi="Arial" w:cs="Arial"/>
          <w:b/>
          <w:bCs/>
          <w:kern w:val="36"/>
          <w:sz w:val="23"/>
          <w:szCs w:val="23"/>
          <w:lang w:eastAsia="de-DE"/>
        </w:rPr>
        <w:t xml:space="preserve"> - </w:t>
      </w:r>
      <w:proofErr w:type="spellStart"/>
      <w:r w:rsidRPr="007559AF">
        <w:rPr>
          <w:rFonts w:ascii="Arial" w:eastAsia="Times New Roman" w:hAnsi="Arial" w:cs="Arial"/>
          <w:b/>
          <w:sz w:val="23"/>
          <w:szCs w:val="23"/>
          <w:lang w:eastAsia="de-DE"/>
        </w:rPr>
        <w:t>HeilprGDV</w:t>
      </w:r>
      <w:proofErr w:type="spellEnd"/>
      <w:r w:rsidRPr="007559AF">
        <w:rPr>
          <w:rFonts w:ascii="Arial" w:eastAsia="Times New Roman" w:hAnsi="Arial" w:cs="Arial"/>
          <w:b/>
          <w:sz w:val="23"/>
          <w:szCs w:val="23"/>
          <w:lang w:eastAsia="de-DE"/>
        </w:rPr>
        <w:t xml:space="preserve"> 1</w:t>
      </w:r>
    </w:p>
    <w:p w:rsidR="007559AF" w:rsidRPr="007559AF" w:rsidRDefault="007559AF" w:rsidP="007559AF">
      <w:pPr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Ausfertigungsdatum: 18.02.1939</w:t>
      </w:r>
    </w:p>
    <w:p w:rsidR="007559AF" w:rsidRPr="007559AF" w:rsidRDefault="007559AF" w:rsidP="007559AF">
      <w:pPr>
        <w:spacing w:before="100" w:beforeAutospacing="1" w:after="100" w:afterAutospacing="1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Vollzitat: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"Erste Durchführungsverordnung zum Gesetz über die berufsmäßige Ausübung der Heilkunde ohne Bestallung (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Heilpraktikergesetz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>) in der im Bundesgesetzblatt Teil III, Gliederungsnummer 2122-2-1, veröffentlichten bereinigten Fassung, die zuletzt durch Artikel 2 der Verordnung vom 4. Dezember 2002 (BGBl. I S. 4456) geändert worden ist"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8012"/>
      </w:tblGrid>
      <w:tr w:rsidR="007559AF" w:rsidRPr="007559AF" w:rsidTr="007559AF"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559AF" w:rsidRPr="007559AF" w:rsidRDefault="007559AF" w:rsidP="007559AF">
            <w:pPr>
              <w:spacing w:after="0"/>
              <w:rPr>
                <w:rFonts w:ascii="Arial" w:eastAsia="Times New Roman" w:hAnsi="Arial" w:cs="Arial"/>
                <w:b/>
                <w:bCs/>
                <w:sz w:val="23"/>
                <w:szCs w:val="23"/>
                <w:u w:val="single"/>
                <w:lang w:eastAsia="de-DE"/>
              </w:rPr>
            </w:pPr>
            <w:r w:rsidRPr="007559AF">
              <w:rPr>
                <w:rFonts w:ascii="Arial" w:eastAsia="Times New Roman" w:hAnsi="Arial" w:cs="Arial"/>
                <w:b/>
                <w:bCs/>
                <w:sz w:val="23"/>
                <w:szCs w:val="23"/>
                <w:u w:val="single"/>
                <w:lang w:eastAsia="de-DE"/>
              </w:rPr>
              <w:t>Stand: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559AF" w:rsidRPr="007559AF" w:rsidRDefault="007559AF" w:rsidP="007559AF">
            <w:pPr>
              <w:spacing w:after="0"/>
              <w:rPr>
                <w:rFonts w:ascii="Arial" w:eastAsia="Times New Roman" w:hAnsi="Arial" w:cs="Arial"/>
                <w:sz w:val="23"/>
                <w:szCs w:val="23"/>
                <w:lang w:eastAsia="de-DE"/>
              </w:rPr>
            </w:pPr>
            <w:r w:rsidRPr="007559AF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Zu</w:t>
            </w:r>
            <w:r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letzt geändert durch Art. 2 V vom</w:t>
            </w:r>
            <w:r w:rsidRPr="007559AF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0</w:t>
            </w:r>
            <w:r w:rsidRPr="007559AF">
              <w:rPr>
                <w:rFonts w:ascii="Arial" w:eastAsia="Times New Roman" w:hAnsi="Arial" w:cs="Arial"/>
                <w:sz w:val="23"/>
                <w:szCs w:val="23"/>
                <w:lang w:eastAsia="de-DE"/>
              </w:rPr>
              <w:t>4.12.2002 I 4456</w:t>
            </w:r>
          </w:p>
        </w:tc>
      </w:tr>
    </w:tbl>
    <w:p w:rsidR="007559AF" w:rsidRDefault="007559AF" w:rsidP="007559AF">
      <w:pPr>
        <w:spacing w:after="0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Eingangsformel </w:t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Auf Grund § 7 des Gesetzes über die berufsmäßige Ausübung der Heilkunde ohne Bestallung (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Heilpraktikergesetz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>) vom 17. Februar 1939 (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Reichsgesetzbl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>. I S. 251) wird verordnet: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bookmarkStart w:id="0" w:name="BJNR002590939BJNE000200319"/>
      <w:bookmarkEnd w:id="0"/>
    </w:p>
    <w:p w:rsidR="007559AF" w:rsidRPr="007559AF" w:rsidRDefault="007559AF" w:rsidP="00C7473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Cs/>
          <w:sz w:val="23"/>
          <w:szCs w:val="23"/>
          <w:lang w:eastAsia="de-DE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</w:t>
      </w: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 xml:space="preserve"> 1 </w:t>
      </w:r>
      <w:r w:rsidR="00C74737" w:rsidRPr="00C74737">
        <w:rPr>
          <w:rFonts w:ascii="Arial" w:eastAsia="Times New Roman" w:hAnsi="Arial" w:cs="Arial"/>
          <w:bCs/>
          <w:sz w:val="23"/>
          <w:szCs w:val="23"/>
          <w:lang w:eastAsia="de-DE"/>
        </w:rPr>
        <w:t>---</w:t>
      </w:r>
    </w:p>
    <w:p w:rsidR="007559AF" w:rsidRPr="007559AF" w:rsidRDefault="007559AF" w:rsidP="00C7473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1" w:name="BJNR002590939BJNE000302320"/>
      <w:bookmarkEnd w:id="1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2 </w:t>
      </w:r>
    </w:p>
    <w:p w:rsidR="007559AF" w:rsidRDefault="007559AF" w:rsidP="007559AF">
      <w:pPr>
        <w:spacing w:before="120"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(1) Di</w:t>
      </w:r>
      <w:r>
        <w:rPr>
          <w:rFonts w:ascii="Arial" w:eastAsia="Times New Roman" w:hAnsi="Arial" w:cs="Arial"/>
          <w:sz w:val="23"/>
          <w:szCs w:val="23"/>
          <w:lang w:eastAsia="de-DE"/>
        </w:rPr>
        <w:t>e Erlaubnis wird nicht erteilt,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a)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der Antragsteller das 25. Lebensjahr noch nicht vollendet hat,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b)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er nicht die deutsche Staatsangehörigkeit besitzt,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c) (weggefallen)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d)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er nicht mindestens abgeschlossene Volksschulbildung nachweisen kann,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e) (weggefallen)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f)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sich aus Tatsachen ergibt, da</w:t>
      </w:r>
      <w:r>
        <w:rPr>
          <w:rFonts w:ascii="Arial" w:eastAsia="Times New Roman" w:hAnsi="Arial" w:cs="Arial"/>
          <w:sz w:val="23"/>
          <w:szCs w:val="23"/>
          <w:lang w:eastAsia="de-DE"/>
        </w:rPr>
        <w:t>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ihm die ... sittliche Zuverlässigkeit fehlt, insbesondere, wenn schwere strafrechtliche oder sittliche Verfehlungen vorliegen,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g)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er in gesundheitlicher Hinsicht zur Ausübung des Berufs ungeeignet ist,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h)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mit Sicherheit anzunehmen ist, da</w:t>
      </w:r>
      <w:r>
        <w:rPr>
          <w:rFonts w:ascii="Arial" w:eastAsia="Times New Roman" w:hAnsi="Arial" w:cs="Arial"/>
          <w:sz w:val="23"/>
          <w:szCs w:val="23"/>
          <w:lang w:eastAsia="de-DE"/>
        </w:rPr>
        <w:t>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er die Heilkunde neben einem anderen Beruf ausüben wird,</w:t>
      </w:r>
      <w:r>
        <w:rPr>
          <w:rFonts w:ascii="Arial" w:eastAsia="Times New Roman" w:hAnsi="Arial" w:cs="Arial"/>
          <w:sz w:val="23"/>
          <w:szCs w:val="23"/>
          <w:lang w:eastAsia="de-DE"/>
        </w:rPr>
        <w:br/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lastRenderedPageBreak/>
        <w:t>i)</w:t>
      </w:r>
      <w:r>
        <w:rPr>
          <w:rFonts w:ascii="Arial" w:eastAsia="Times New Roman" w:hAnsi="Arial" w:cs="Arial"/>
          <w:sz w:val="23"/>
          <w:szCs w:val="23"/>
          <w:lang w:eastAsia="de-DE"/>
        </w:rPr>
        <w:t xml:space="preserve"> 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wenn sich aus einer Überprüfung der Kenntnisse und Fähigkeiten des Antragstellers durc</w:t>
      </w:r>
      <w:r>
        <w:rPr>
          <w:rFonts w:ascii="Arial" w:eastAsia="Times New Roman" w:hAnsi="Arial" w:cs="Arial"/>
          <w:sz w:val="23"/>
          <w:szCs w:val="23"/>
          <w:lang w:eastAsia="de-DE"/>
        </w:rPr>
        <w:t>h das Gesundheitsamt ergibt, dass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die Ausübung der Heilkunde durch den Betreffenden eine Gefahr für die Volksgesundheit bedeuten würde.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(2)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 xml:space="preserve"> ---</w:t>
      </w:r>
    </w:p>
    <w:p w:rsidR="00C74737" w:rsidRDefault="007559AF" w:rsidP="00C74737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Fußnote</w:t>
      </w:r>
    </w:p>
    <w:p w:rsidR="007559AF" w:rsidRPr="007559AF" w:rsidRDefault="007559AF" w:rsidP="00C74737">
      <w:pPr>
        <w:spacing w:before="100" w:beforeAutospacing="1" w:after="100" w:afterAutospacing="1"/>
        <w:outlineLvl w:val="4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§ 2 Abs. 1 Buchst. b: Nach Maßgabe der Entscheidungsformel mit Art. 2 Abs. 1 GG (100-1) unvereinbar und nichtig gem. BVerfGE v. 10.5.1988 I 1587 (1 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BvR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482/84)</w:t>
      </w:r>
    </w:p>
    <w:p w:rsidR="007559AF" w:rsidRPr="007559AF" w:rsidRDefault="007559AF" w:rsidP="007559AF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2" w:name="BJNR002590939BJNE000400319"/>
      <w:bookmarkEnd w:id="2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3 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(1) Über den Antrag entscheidet die untere Verwaltungsbehörde im Benehmen mit dem Gesundheitsamt.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(2) Der Bescheid ist dem Antragsteller, ... und der zuständigen Ärztekammer zuzustellen; das Gesundheitsamt erhält Abschrift des Bescheides. Der ablehnende Bescheid ist mit Gründen zu versehen.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(3) Gegen den Bescheid können der Antragsteller ... und die zuständige Ärztekammer binnen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zwei Wochen Beschwerde einlegen. Über diese entscheidet die höhere Verwaltungsbehörde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nach Anhörung eines Gutachterausschusses (§ 4).</w:t>
      </w:r>
    </w:p>
    <w:p w:rsidR="007559AF" w:rsidRPr="007559AF" w:rsidRDefault="007559AF" w:rsidP="007559AF">
      <w:pPr>
        <w:spacing w:before="100" w:beforeAutospacing="1" w:after="100" w:afterAutospacing="1"/>
        <w:outlineLvl w:val="4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Fußnote</w:t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§ 3 Abs. 3: 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IdF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d. § 2 V </w:t>
      </w:r>
      <w:proofErr w:type="spellStart"/>
      <w:r w:rsidRPr="007559AF">
        <w:rPr>
          <w:rFonts w:ascii="Arial" w:eastAsia="Times New Roman" w:hAnsi="Arial" w:cs="Arial"/>
          <w:sz w:val="23"/>
          <w:szCs w:val="23"/>
          <w:lang w:eastAsia="de-DE"/>
        </w:rPr>
        <w:t>v</w:t>
      </w:r>
      <w:proofErr w:type="spellEnd"/>
      <w:r w:rsidRPr="007559AF">
        <w:rPr>
          <w:rFonts w:ascii="Arial" w:eastAsia="Times New Roman" w:hAnsi="Arial" w:cs="Arial"/>
          <w:sz w:val="23"/>
          <w:szCs w:val="23"/>
          <w:lang w:eastAsia="de-DE"/>
        </w:rPr>
        <w:t>. 3.7.1941 I 368; Kursivdruck gem. § 77 Abs. 1 VwGO 340-1 durch §§ 68ff. VwGO ersetzt, jetzt Widerspruch innerhalb eines Monats bei der erlassenden Behörde</w:t>
      </w:r>
    </w:p>
    <w:p w:rsidR="007559AF" w:rsidRPr="007559AF" w:rsidRDefault="007559AF" w:rsidP="007559AF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3" w:name="BJNR002590939BJNE000500319"/>
      <w:bookmarkEnd w:id="3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4 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>
        <w:rPr>
          <w:rFonts w:ascii="Arial" w:eastAsia="Times New Roman" w:hAnsi="Arial" w:cs="Arial"/>
          <w:sz w:val="23"/>
          <w:szCs w:val="23"/>
          <w:lang w:eastAsia="de-DE"/>
        </w:rPr>
        <w:t>(1) Der Gutachterausschuss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besteht aus einem Vorsitzenden, der weder Arzt noch Heilpraktiker sein darf, aus zwei Ärzten sowie aus zwei Heilpraktikern. Die Mitglieder des Ausschusses werden vom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Reichsminister des Innern ...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für die Dauer von zwei Jahren berufen. Die Landesregierungen werden ermächtigt, durch Rechtsverordnung die zuständige Behörde abweichend von Satz 2 zu bestimmen. Sie können diese Ermächtigung auf oberste Landesbehörden übertragen.</w:t>
      </w:r>
    </w:p>
    <w:p w:rsidR="00C74737" w:rsidRPr="007559AF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(2) Für mehrere Bezirke höherer Verwaltungsbehörden kann e</w:t>
      </w:r>
      <w:r>
        <w:rPr>
          <w:rFonts w:ascii="Arial" w:eastAsia="Times New Roman" w:hAnsi="Arial" w:cs="Arial"/>
          <w:sz w:val="23"/>
          <w:szCs w:val="23"/>
          <w:lang w:eastAsia="de-DE"/>
        </w:rPr>
        <w:t>in gemeinsamer Gutachterausschuss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gebildet werden.</w:t>
      </w:r>
    </w:p>
    <w:p w:rsidR="007559AF" w:rsidRPr="007559AF" w:rsidRDefault="007559AF" w:rsidP="007559AF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4" w:name="BJNR002590939BJNE000600319"/>
      <w:bookmarkEnd w:id="4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5 </w:t>
      </w:r>
      <w:r w:rsidR="00C74737" w:rsidRPr="00C74737">
        <w:rPr>
          <w:rFonts w:ascii="Arial" w:eastAsia="Times New Roman" w:hAnsi="Arial" w:cs="Arial"/>
          <w:bCs/>
          <w:sz w:val="23"/>
          <w:szCs w:val="23"/>
          <w:lang w:eastAsia="de-DE"/>
        </w:rPr>
        <w:t>---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Cs/>
          <w:sz w:val="23"/>
          <w:szCs w:val="23"/>
          <w:lang w:eastAsia="de-DE"/>
        </w:rPr>
      </w:pPr>
      <w:bookmarkStart w:id="5" w:name="BJNR002590939BJNE000700319"/>
      <w:bookmarkEnd w:id="5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6 </w:t>
      </w:r>
      <w:r w:rsidR="00C74737">
        <w:rPr>
          <w:rFonts w:ascii="Arial" w:eastAsia="Times New Roman" w:hAnsi="Arial" w:cs="Arial"/>
          <w:bCs/>
          <w:sz w:val="23"/>
          <w:szCs w:val="23"/>
          <w:lang w:eastAsia="de-DE"/>
        </w:rPr>
        <w:t>---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6" w:name="BJNR002590939BJNE000800319"/>
      <w:bookmarkEnd w:id="6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7 </w:t>
      </w: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(1) Die Erlaubnis ist durch die höhere Verwaltungsbehörde zurückzunehmen, wenn nachträglich Tatsachen eintreten oder bekannt werden, die eine Versagung der Erlaubnis nach § 2 Abs. 1 rechtfertigen würden. Die Landesregierungen werden ermächtigt, durch Rechtsverordnung die zuständige Behörde abweichend von Satz 1 zu bestimmen. Sie können diese Ermächtigung auf oberste Landesbehörden übertragen.</w:t>
      </w:r>
    </w:p>
    <w:p w:rsidR="00C74737" w:rsidRPr="007559AF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(2)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 xml:space="preserve"> ---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(3) Vor Zurücknahme der Erlaubnis nach Absatz 1 ist der Gutachterausschu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>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(§ 4) zu hören.</w:t>
      </w:r>
    </w:p>
    <w:p w:rsidR="00C74737" w:rsidRPr="007559AF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(4)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 xml:space="preserve"> ---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7" w:name="BJNR002590939BJNE000900319"/>
      <w:bookmarkEnd w:id="7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§§ 8 und 9 (weggefallen)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10 </w:t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(1) Anträge auf Zulassung zum Studium der Medizin gemäß § 2 Abs. 2 des Gesetzes sind an die für den Wohnort des Antragstellers zuständige höhere Verwaltungsbehörde einzureichen.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(2) Die Antragsteller dürfen das 30. Lebensjahr noch nicht überschritten haben.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(3) Die höhere Verwaltungsbehörde prüft, ob die Voraussetzungen des § 2 der Verordnung erfüllt sind, und hört zu 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>dem Antrag den Gutachterausschuss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(§ 4).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(4) Nach Abschlu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>ss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der Ermittlungen legt sie den Antrag mit dem Gutachten dem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Reichsminister des Innern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vor, der ... gegebenenfalls den Antrag an den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Reichsminister für Wissenschaft, Erziehung und Volksbildung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weiterleitet.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8" w:name="BJNR002590939BJNE001100319"/>
      <w:bookmarkEnd w:id="8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 11 </w:t>
      </w: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(1) Höhere Verwaltungsbehörde im Sinne dieser Verordnung ist in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Preußen,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Bayern ... der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Regierungspräsident,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in Berlin der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Polizeipräsident,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... im Saarland der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Reichskommissar für das Saarland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und im 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>Ü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>brigen die oberste Landesbehörde.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(2) Untere Verwaltungsbehörde im Sinne dieser Verordnung ist in Gemeinden mit staatlicher Polizeiverwaltung die staatliche Polizeibehörde, im 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>Ü</w:t>
      </w:r>
      <w:bookmarkStart w:id="9" w:name="_GoBack"/>
      <w:bookmarkEnd w:id="9"/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brigen in Stadtkreisen der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Oberbürgermeister,</w:t>
      </w:r>
      <w:r w:rsidRPr="007559AF">
        <w:rPr>
          <w:rFonts w:ascii="Arial" w:eastAsia="Times New Roman" w:hAnsi="Arial" w:cs="Arial"/>
          <w:sz w:val="23"/>
          <w:szCs w:val="23"/>
          <w:lang w:eastAsia="de-DE"/>
        </w:rPr>
        <w:t xml:space="preserve"> in Landkreisen der </w:t>
      </w:r>
      <w:r w:rsidRPr="007559AF">
        <w:rPr>
          <w:rFonts w:ascii="Arial" w:eastAsia="Times New Roman" w:hAnsi="Arial" w:cs="Arial"/>
          <w:i/>
          <w:iCs/>
          <w:sz w:val="23"/>
          <w:szCs w:val="23"/>
          <w:lang w:eastAsia="de-DE"/>
        </w:rPr>
        <w:t>Landrat.</w:t>
      </w:r>
    </w:p>
    <w:p w:rsidR="00C74737" w:rsidRDefault="00C74737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</w:p>
    <w:p w:rsidR="007559AF" w:rsidRPr="007559AF" w:rsidRDefault="007559AF" w:rsidP="007559AF">
      <w:pPr>
        <w:spacing w:after="0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(3)</w:t>
      </w:r>
      <w:r w:rsidR="00C74737">
        <w:rPr>
          <w:rFonts w:ascii="Arial" w:eastAsia="Times New Roman" w:hAnsi="Arial" w:cs="Arial"/>
          <w:sz w:val="23"/>
          <w:szCs w:val="23"/>
          <w:lang w:eastAsia="de-DE"/>
        </w:rPr>
        <w:t xml:space="preserve"> ---</w:t>
      </w:r>
    </w:p>
    <w:p w:rsidR="00C74737" w:rsidRDefault="007559AF" w:rsidP="00C7473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Fußnote</w:t>
      </w:r>
    </w:p>
    <w:p w:rsidR="007559AF" w:rsidRPr="007559AF" w:rsidRDefault="007559AF" w:rsidP="00C74737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sz w:val="23"/>
          <w:szCs w:val="23"/>
          <w:lang w:eastAsia="de-DE"/>
        </w:rPr>
      </w:pPr>
      <w:r w:rsidRPr="007559AF">
        <w:rPr>
          <w:rFonts w:ascii="Arial" w:eastAsia="Times New Roman" w:hAnsi="Arial" w:cs="Arial"/>
          <w:sz w:val="23"/>
          <w:szCs w:val="23"/>
          <w:lang w:eastAsia="de-DE"/>
        </w:rPr>
        <w:t>§ 11 Abs. 2: Kursivdruck vgl. jetzt die Gemeinde- u. Kreisordnungen der Länder</w:t>
      </w:r>
    </w:p>
    <w:p w:rsidR="007559AF" w:rsidRPr="007559AF" w:rsidRDefault="007559AF" w:rsidP="00C74737">
      <w:pPr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sz w:val="23"/>
          <w:szCs w:val="23"/>
          <w:lang w:eastAsia="de-DE"/>
        </w:rPr>
      </w:pPr>
      <w:bookmarkStart w:id="10" w:name="BJNR002590939BJNE001200319"/>
      <w:bookmarkEnd w:id="10"/>
      <w:r w:rsidRPr="007559AF">
        <w:rPr>
          <w:rFonts w:ascii="Arial" w:eastAsia="Times New Roman" w:hAnsi="Arial" w:cs="Arial"/>
          <w:b/>
          <w:bCs/>
          <w:sz w:val="23"/>
          <w:szCs w:val="23"/>
          <w:lang w:eastAsia="de-DE"/>
        </w:rPr>
        <w:t>§§ 12 bis 14 (weggefallen)</w:t>
      </w:r>
    </w:p>
    <w:sectPr w:rsidR="007559AF" w:rsidRPr="007559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AF"/>
    <w:rsid w:val="006006B8"/>
    <w:rsid w:val="007559AF"/>
    <w:rsid w:val="00C7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59AF"/>
    <w:rPr>
      <w:color w:val="0000FF"/>
      <w:u w:val="single"/>
    </w:rPr>
  </w:style>
  <w:style w:type="character" w:customStyle="1" w:styleId="jnlangue">
    <w:name w:val="jnlangue"/>
    <w:basedOn w:val="Absatz-Standardschriftart"/>
    <w:rsid w:val="007559AF"/>
  </w:style>
  <w:style w:type="paragraph" w:styleId="StandardWeb">
    <w:name w:val="Normal (Web)"/>
    <w:basedOn w:val="Standard"/>
    <w:uiPriority w:val="99"/>
    <w:semiHidden/>
    <w:unhideWhenUsed/>
    <w:rsid w:val="0075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5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559A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jnenbez">
    <w:name w:val="jnenbez"/>
    <w:basedOn w:val="Absatz-Standardschriftart"/>
    <w:rsid w:val="007559AF"/>
  </w:style>
  <w:style w:type="character" w:customStyle="1" w:styleId="jnentitel">
    <w:name w:val="jnentitel"/>
    <w:basedOn w:val="Absatz-Standardschriftart"/>
    <w:rsid w:val="007559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9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5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559AF"/>
    <w:rPr>
      <w:color w:val="0000FF"/>
      <w:u w:val="single"/>
    </w:rPr>
  </w:style>
  <w:style w:type="character" w:customStyle="1" w:styleId="jnlangue">
    <w:name w:val="jnlangue"/>
    <w:basedOn w:val="Absatz-Standardschriftart"/>
    <w:rsid w:val="007559AF"/>
  </w:style>
  <w:style w:type="paragraph" w:styleId="StandardWeb">
    <w:name w:val="Normal (Web)"/>
    <w:basedOn w:val="Standard"/>
    <w:uiPriority w:val="99"/>
    <w:semiHidden/>
    <w:unhideWhenUsed/>
    <w:rsid w:val="00755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559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559AF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jnenbez">
    <w:name w:val="jnenbez"/>
    <w:basedOn w:val="Absatz-Standardschriftart"/>
    <w:rsid w:val="007559AF"/>
  </w:style>
  <w:style w:type="character" w:customStyle="1" w:styleId="jnentitel">
    <w:name w:val="jnentitel"/>
    <w:basedOn w:val="Absatz-Standardschriftart"/>
    <w:rsid w:val="007559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5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59A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5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87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7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8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83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11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1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74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60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5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32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314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7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6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8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20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9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77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77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23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399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9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47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71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7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8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86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723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2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3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30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863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28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7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374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0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85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6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41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09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8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07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23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6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7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2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4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71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06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6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8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18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38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91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8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04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04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48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61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03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71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5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753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660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65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3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815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11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5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5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62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3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377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16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845CAF3C.dotm</Template>
  <TotalTime>0</TotalTime>
  <Pages>3</Pages>
  <Words>668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Ostholstein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Pernak, Ulricke</dc:creator>
  <cp:keywords/>
  <dc:description/>
  <cp:lastModifiedBy>Pernak, Ulricke</cp:lastModifiedBy>
  <cp:revision>1</cp:revision>
  <dcterms:created xsi:type="dcterms:W3CDTF">2014-09-10T11:35:00Z</dcterms:created>
  <dcterms:modified xsi:type="dcterms:W3CDTF">2014-09-10T11:45:00Z</dcterms:modified>
</cp:coreProperties>
</file>